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CD" w:rsidRPr="003429DF" w:rsidRDefault="00BD2C8F" w:rsidP="003429D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Garden</w:t>
      </w:r>
      <w:r w:rsidR="003429DF" w:rsidRPr="003429DF">
        <w:rPr>
          <w:b/>
          <w:u w:val="single"/>
        </w:rPr>
        <w:t xml:space="preserve"> Course </w:t>
      </w:r>
      <w:r w:rsidR="00DD22C2">
        <w:rPr>
          <w:b/>
          <w:u w:val="single"/>
        </w:rPr>
        <w:t>Local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429DF" w:rsidTr="003429DF">
        <w:tc>
          <w:tcPr>
            <w:tcW w:w="4621" w:type="dxa"/>
          </w:tcPr>
          <w:p w:rsidR="00696AF6" w:rsidRPr="001956EC" w:rsidRDefault="00696AF6" w:rsidP="00696AF6">
            <w:pPr>
              <w:rPr>
                <w:b/>
                <w:sz w:val="20"/>
                <w:szCs w:val="20"/>
              </w:rPr>
            </w:pPr>
            <w:r w:rsidRPr="001956EC">
              <w:rPr>
                <w:b/>
                <w:sz w:val="20"/>
                <w:szCs w:val="20"/>
              </w:rPr>
              <w:t>Out Of Bounds Rule 18</w:t>
            </w:r>
          </w:p>
          <w:p w:rsidR="00696AF6" w:rsidRPr="001956EC" w:rsidRDefault="00696AF6" w:rsidP="00686F96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sz w:val="20"/>
                <w:szCs w:val="20"/>
              </w:rPr>
            </w:pPr>
            <w:r w:rsidRPr="001956EC">
              <w:rPr>
                <w:sz w:val="20"/>
                <w:szCs w:val="20"/>
              </w:rPr>
              <w:t>Beyond any boundary fence or hedge.</w:t>
            </w:r>
          </w:p>
          <w:p w:rsidR="00696AF6" w:rsidRDefault="00696AF6" w:rsidP="00686F96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sz w:val="20"/>
                <w:szCs w:val="20"/>
              </w:rPr>
            </w:pPr>
            <w:r w:rsidRPr="001956EC">
              <w:rPr>
                <w:sz w:val="20"/>
                <w:szCs w:val="20"/>
              </w:rPr>
              <w:t>Beyond the line between the course-side edge of t</w:t>
            </w:r>
            <w:r w:rsidR="00BD2C8F">
              <w:rPr>
                <w:sz w:val="20"/>
                <w:szCs w:val="20"/>
              </w:rPr>
              <w:t>he white stakes at ground level to the left of the 3</w:t>
            </w:r>
            <w:r w:rsidR="00BD2C8F" w:rsidRPr="00BD2C8F">
              <w:rPr>
                <w:sz w:val="20"/>
                <w:szCs w:val="20"/>
                <w:vertAlign w:val="superscript"/>
              </w:rPr>
              <w:t>rd</w:t>
            </w:r>
            <w:r w:rsidR="00BD2C8F">
              <w:rPr>
                <w:sz w:val="20"/>
                <w:szCs w:val="20"/>
              </w:rPr>
              <w:t xml:space="preserve"> hole.</w:t>
            </w:r>
          </w:p>
          <w:p w:rsidR="00BD2C8F" w:rsidRDefault="00BD2C8F" w:rsidP="00686F96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Beyond the hedge to the right of the 6</w:t>
            </w:r>
            <w:r w:rsidRPr="00BD2C8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hole.</w:t>
            </w:r>
          </w:p>
          <w:p w:rsidR="00BD2C8F" w:rsidRDefault="00BD2C8F" w:rsidP="00686F96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Beyond the fence to the left of the 8</w:t>
            </w:r>
            <w:r w:rsidRPr="00BD2C8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hole.</w:t>
            </w:r>
          </w:p>
          <w:p w:rsidR="00BD2C8F" w:rsidRDefault="00BD2C8F" w:rsidP="00686F96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or beyond the curb of the road at the back of the 9</w:t>
            </w:r>
            <w:r w:rsidRPr="00BD2C8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green. The buggy park is in play and relief may be taken under Rule 16.1b.</w:t>
            </w:r>
          </w:p>
          <w:p w:rsidR="00696AF6" w:rsidRPr="001956EC" w:rsidRDefault="00696AF6" w:rsidP="00686F96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sz w:val="20"/>
                <w:szCs w:val="20"/>
              </w:rPr>
            </w:pPr>
            <w:r w:rsidRPr="001956EC">
              <w:rPr>
                <w:sz w:val="20"/>
                <w:szCs w:val="20"/>
              </w:rPr>
              <w:t>The Clubhouse Wedding Garden and the patio beyond the fenced areas.</w:t>
            </w:r>
          </w:p>
          <w:p w:rsidR="00945408" w:rsidRPr="001956EC" w:rsidRDefault="00945408" w:rsidP="00945408">
            <w:pPr>
              <w:rPr>
                <w:sz w:val="20"/>
                <w:szCs w:val="20"/>
              </w:rPr>
            </w:pPr>
          </w:p>
          <w:p w:rsidR="005342FD" w:rsidRPr="001956EC" w:rsidRDefault="006F064E" w:rsidP="005342FD">
            <w:pPr>
              <w:rPr>
                <w:b/>
                <w:sz w:val="20"/>
                <w:szCs w:val="20"/>
              </w:rPr>
            </w:pPr>
            <w:r w:rsidRPr="001956EC">
              <w:rPr>
                <w:b/>
                <w:sz w:val="20"/>
                <w:szCs w:val="20"/>
              </w:rPr>
              <w:t>Immovable Obstructions</w:t>
            </w:r>
            <w:r w:rsidR="005342FD" w:rsidRPr="001956EC">
              <w:rPr>
                <w:b/>
                <w:sz w:val="20"/>
                <w:szCs w:val="20"/>
              </w:rPr>
              <w:t xml:space="preserve"> Rule 16</w:t>
            </w:r>
          </w:p>
          <w:p w:rsidR="00A26F98" w:rsidRPr="006E4AB4" w:rsidRDefault="00A26F98" w:rsidP="00A26F9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4AB4">
              <w:rPr>
                <w:sz w:val="20"/>
                <w:szCs w:val="20"/>
              </w:rPr>
              <w:t>All roads, paths, drainage lines and vehicle ruts are immovable obstructions in the General Area from which relief is allowed under Rule 16.1b.</w:t>
            </w:r>
          </w:p>
          <w:p w:rsidR="003444F8" w:rsidRPr="003444F8" w:rsidRDefault="003444F8" w:rsidP="003444F8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6E4AB4">
              <w:rPr>
                <w:sz w:val="20"/>
                <w:szCs w:val="20"/>
              </w:rPr>
              <w:t xml:space="preserve">In addition, if a ball lies off the putting green but not in a bunker or penalty area and a fixed sprinkler head or drain on or within two club-lengths of the putting green and within two club-lengths of the ball intervenes on the line of play between the ball and the hole, the player may obtain relief without penalty as follows: The ball must be lifted </w:t>
            </w:r>
            <w:r w:rsidRPr="003444F8">
              <w:rPr>
                <w:sz w:val="20"/>
                <w:szCs w:val="20"/>
              </w:rPr>
              <w:t>and dropped at the nearest point to where the ball lay which a) is not nearer the hole, b) avoids such intervention and c) is not in a bunker or penalty area or on a putting green.</w:t>
            </w:r>
          </w:p>
          <w:p w:rsidR="00686F96" w:rsidRPr="001956EC" w:rsidRDefault="005342FD" w:rsidP="005342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956EC">
              <w:rPr>
                <w:sz w:val="20"/>
                <w:szCs w:val="20"/>
              </w:rPr>
              <w:t xml:space="preserve">Blue stakes denoting outlet pipes and wooden posts supporting lifebuoy’s </w:t>
            </w:r>
            <w:r w:rsidR="00245A56" w:rsidRPr="001956EC">
              <w:rPr>
                <w:sz w:val="20"/>
                <w:szCs w:val="20"/>
              </w:rPr>
              <w:t xml:space="preserve">are integral objects if a player’s ball lies in the penalty area.  </w:t>
            </w:r>
            <w:r w:rsidR="00AF29E6" w:rsidRPr="001956EC">
              <w:rPr>
                <w:sz w:val="20"/>
                <w:szCs w:val="20"/>
              </w:rPr>
              <w:t xml:space="preserve">If </w:t>
            </w:r>
            <w:r w:rsidR="006F064E" w:rsidRPr="001956EC">
              <w:rPr>
                <w:sz w:val="20"/>
                <w:szCs w:val="20"/>
              </w:rPr>
              <w:t>the</w:t>
            </w:r>
            <w:r w:rsidR="00AF29E6" w:rsidRPr="001956EC">
              <w:rPr>
                <w:sz w:val="20"/>
                <w:szCs w:val="20"/>
              </w:rPr>
              <w:t xml:space="preserve"> ball lies in the general area t</w:t>
            </w:r>
            <w:r w:rsidR="00686F96" w:rsidRPr="001956EC">
              <w:rPr>
                <w:sz w:val="20"/>
                <w:szCs w:val="20"/>
              </w:rPr>
              <w:t>hey are immovable obstructions and relief may be taken under Rule 16.1b.</w:t>
            </w:r>
          </w:p>
          <w:p w:rsidR="00945408" w:rsidRPr="001956EC" w:rsidRDefault="00945408" w:rsidP="00945408">
            <w:pPr>
              <w:rPr>
                <w:sz w:val="20"/>
                <w:szCs w:val="20"/>
              </w:rPr>
            </w:pPr>
          </w:p>
          <w:p w:rsidR="005342FD" w:rsidRPr="009D5394" w:rsidRDefault="005342FD" w:rsidP="005342FD"/>
        </w:tc>
        <w:tc>
          <w:tcPr>
            <w:tcW w:w="4621" w:type="dxa"/>
          </w:tcPr>
          <w:p w:rsidR="008E3352" w:rsidRPr="001956EC" w:rsidRDefault="008E3352" w:rsidP="008E3352">
            <w:pPr>
              <w:rPr>
                <w:b/>
                <w:sz w:val="20"/>
                <w:szCs w:val="20"/>
              </w:rPr>
            </w:pPr>
            <w:r w:rsidRPr="001956EC">
              <w:rPr>
                <w:b/>
                <w:sz w:val="20"/>
                <w:szCs w:val="20"/>
              </w:rPr>
              <w:t>Penalty Areas Rule 17</w:t>
            </w:r>
          </w:p>
          <w:p w:rsidR="008E3352" w:rsidRPr="0014364D" w:rsidRDefault="008E3352" w:rsidP="008E3352">
            <w:pPr>
              <w:rPr>
                <w:color w:val="FF0000"/>
                <w:sz w:val="20"/>
                <w:szCs w:val="20"/>
              </w:rPr>
            </w:pPr>
            <w:r w:rsidRPr="001956EC">
              <w:rPr>
                <w:sz w:val="20"/>
                <w:szCs w:val="20"/>
              </w:rPr>
              <w:t xml:space="preserve">All lakes and ditches on the course whether or not marked with red stakes and/or lines are red penalty areas.  </w:t>
            </w:r>
          </w:p>
          <w:p w:rsidR="00153139" w:rsidRDefault="00153139" w:rsidP="008E3352">
            <w:pPr>
              <w:rPr>
                <w:sz w:val="20"/>
                <w:szCs w:val="20"/>
              </w:rPr>
            </w:pPr>
          </w:p>
          <w:p w:rsidR="00945408" w:rsidRPr="001956EC" w:rsidRDefault="00945408" w:rsidP="00945408">
            <w:pPr>
              <w:rPr>
                <w:b/>
                <w:sz w:val="20"/>
                <w:szCs w:val="20"/>
              </w:rPr>
            </w:pPr>
            <w:r w:rsidRPr="001956EC">
              <w:rPr>
                <w:b/>
                <w:sz w:val="20"/>
                <w:szCs w:val="20"/>
              </w:rPr>
              <w:t>Penalty For Breach Of Local Rule</w:t>
            </w:r>
          </w:p>
          <w:p w:rsidR="00945408" w:rsidRPr="001956EC" w:rsidRDefault="00945408" w:rsidP="00945408">
            <w:pPr>
              <w:rPr>
                <w:sz w:val="20"/>
                <w:szCs w:val="20"/>
              </w:rPr>
            </w:pPr>
            <w:r w:rsidRPr="001956EC">
              <w:rPr>
                <w:sz w:val="20"/>
                <w:szCs w:val="20"/>
              </w:rPr>
              <w:t>Match Play – Loss of Hole.</w:t>
            </w:r>
          </w:p>
          <w:p w:rsidR="00945408" w:rsidRPr="001956EC" w:rsidRDefault="00945408" w:rsidP="00945408">
            <w:pPr>
              <w:rPr>
                <w:sz w:val="20"/>
                <w:szCs w:val="20"/>
              </w:rPr>
            </w:pPr>
            <w:r w:rsidRPr="001956EC">
              <w:rPr>
                <w:sz w:val="20"/>
                <w:szCs w:val="20"/>
              </w:rPr>
              <w:t xml:space="preserve">Stroke Play – </w:t>
            </w:r>
            <w:r w:rsidR="007F0802" w:rsidRPr="006E4AB4">
              <w:rPr>
                <w:sz w:val="20"/>
                <w:szCs w:val="20"/>
              </w:rPr>
              <w:t>General Penalty</w:t>
            </w:r>
            <w:r w:rsidRPr="006E4AB4">
              <w:rPr>
                <w:sz w:val="20"/>
                <w:szCs w:val="20"/>
              </w:rPr>
              <w:t>.</w:t>
            </w:r>
          </w:p>
          <w:p w:rsidR="009D5394" w:rsidRPr="001956EC" w:rsidRDefault="009D5394" w:rsidP="00945408">
            <w:pPr>
              <w:rPr>
                <w:sz w:val="20"/>
                <w:szCs w:val="20"/>
              </w:rPr>
            </w:pPr>
          </w:p>
          <w:p w:rsidR="009D5394" w:rsidRPr="001956EC" w:rsidRDefault="009D5394" w:rsidP="00945408">
            <w:pPr>
              <w:rPr>
                <w:b/>
                <w:sz w:val="20"/>
                <w:szCs w:val="20"/>
              </w:rPr>
            </w:pPr>
            <w:r w:rsidRPr="001956EC">
              <w:rPr>
                <w:b/>
                <w:sz w:val="20"/>
                <w:szCs w:val="20"/>
              </w:rPr>
              <w:t>Public Footpath</w:t>
            </w:r>
          </w:p>
          <w:p w:rsidR="009D5394" w:rsidRPr="00F66FDA" w:rsidRDefault="00E64F5F" w:rsidP="0094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be aware of the</w:t>
            </w:r>
            <w:r w:rsidR="009D5394" w:rsidRPr="00F66FDA">
              <w:rPr>
                <w:sz w:val="20"/>
                <w:szCs w:val="20"/>
              </w:rPr>
              <w:t xml:space="preserve"> public footpath marked by yellow ‘Rights of Way’ arrows</w:t>
            </w:r>
            <w:r w:rsidR="00BA690D" w:rsidRPr="00F66F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which crosses the course.</w:t>
            </w:r>
          </w:p>
          <w:p w:rsidR="009D5394" w:rsidRPr="00F66FDA" w:rsidRDefault="009D5394" w:rsidP="00945408">
            <w:pPr>
              <w:rPr>
                <w:sz w:val="20"/>
                <w:szCs w:val="20"/>
              </w:rPr>
            </w:pPr>
            <w:r w:rsidRPr="00F66FDA">
              <w:rPr>
                <w:sz w:val="20"/>
                <w:szCs w:val="20"/>
              </w:rPr>
              <w:t xml:space="preserve">Precedence </w:t>
            </w:r>
            <w:r w:rsidRPr="00F66FDA">
              <w:rPr>
                <w:b/>
                <w:sz w:val="20"/>
                <w:szCs w:val="20"/>
              </w:rPr>
              <w:t>MUST</w:t>
            </w:r>
            <w:r w:rsidRPr="00F66FDA">
              <w:rPr>
                <w:sz w:val="20"/>
                <w:szCs w:val="20"/>
              </w:rPr>
              <w:t xml:space="preserve"> be given to walkers using the footpath as players could be held liable for any injury to individuals </w:t>
            </w:r>
            <w:r w:rsidR="00BA690D" w:rsidRPr="00F66FDA">
              <w:rPr>
                <w:sz w:val="20"/>
                <w:szCs w:val="20"/>
              </w:rPr>
              <w:t xml:space="preserve">using </w:t>
            </w:r>
            <w:r w:rsidR="00F66FDA" w:rsidRPr="00F66FDA">
              <w:rPr>
                <w:sz w:val="20"/>
                <w:szCs w:val="20"/>
              </w:rPr>
              <w:t>it</w:t>
            </w:r>
            <w:r w:rsidRPr="00F66FDA">
              <w:rPr>
                <w:sz w:val="20"/>
                <w:szCs w:val="20"/>
              </w:rPr>
              <w:t>.</w:t>
            </w:r>
          </w:p>
          <w:p w:rsidR="009D5394" w:rsidRPr="001956EC" w:rsidRDefault="009D5394" w:rsidP="00945408">
            <w:pPr>
              <w:rPr>
                <w:sz w:val="20"/>
                <w:szCs w:val="20"/>
              </w:rPr>
            </w:pPr>
          </w:p>
          <w:p w:rsidR="009D5394" w:rsidRPr="001956EC" w:rsidRDefault="009D5394" w:rsidP="00945408">
            <w:pPr>
              <w:rPr>
                <w:b/>
                <w:sz w:val="20"/>
                <w:szCs w:val="20"/>
              </w:rPr>
            </w:pPr>
            <w:r w:rsidRPr="001956EC">
              <w:rPr>
                <w:b/>
                <w:sz w:val="20"/>
                <w:szCs w:val="20"/>
              </w:rPr>
              <w:t>Distance Markers</w:t>
            </w:r>
          </w:p>
          <w:p w:rsidR="009D5394" w:rsidRDefault="00F66FDA" w:rsidP="00945408">
            <w:pPr>
              <w:rPr>
                <w:sz w:val="20"/>
                <w:szCs w:val="20"/>
              </w:rPr>
            </w:pPr>
            <w:r w:rsidRPr="006E4AB4">
              <w:rPr>
                <w:sz w:val="20"/>
                <w:szCs w:val="20"/>
              </w:rPr>
              <w:t xml:space="preserve">Marker posts/discs show </w:t>
            </w:r>
            <w:r w:rsidR="009D5394" w:rsidRPr="006E4AB4">
              <w:rPr>
                <w:sz w:val="20"/>
                <w:szCs w:val="20"/>
              </w:rPr>
              <w:t xml:space="preserve">distances to the centre of the greens.  </w:t>
            </w:r>
            <w:r w:rsidRPr="006E4AB4">
              <w:rPr>
                <w:sz w:val="20"/>
                <w:szCs w:val="20"/>
              </w:rPr>
              <w:t>White are</w:t>
            </w:r>
            <w:r w:rsidR="009D5394" w:rsidRPr="006E4AB4">
              <w:rPr>
                <w:sz w:val="20"/>
                <w:szCs w:val="20"/>
              </w:rPr>
              <w:t xml:space="preserve"> 200 yards, </w:t>
            </w:r>
            <w:r w:rsidRPr="006E4AB4">
              <w:rPr>
                <w:sz w:val="20"/>
                <w:szCs w:val="20"/>
              </w:rPr>
              <w:t>yellow are</w:t>
            </w:r>
            <w:r w:rsidR="009D5394" w:rsidRPr="006E4AB4">
              <w:rPr>
                <w:sz w:val="20"/>
                <w:szCs w:val="20"/>
              </w:rPr>
              <w:t xml:space="preserve"> 150 yards and red </w:t>
            </w:r>
            <w:r w:rsidRPr="006E4AB4">
              <w:rPr>
                <w:sz w:val="20"/>
                <w:szCs w:val="20"/>
              </w:rPr>
              <w:t>are</w:t>
            </w:r>
            <w:r w:rsidR="009D5394" w:rsidRPr="006E4AB4">
              <w:rPr>
                <w:sz w:val="20"/>
                <w:szCs w:val="20"/>
              </w:rPr>
              <w:t xml:space="preserve"> 100 yards.</w:t>
            </w:r>
          </w:p>
          <w:p w:rsidR="007A01D6" w:rsidRDefault="007A01D6" w:rsidP="00945408">
            <w:pPr>
              <w:rPr>
                <w:sz w:val="20"/>
                <w:szCs w:val="20"/>
              </w:rPr>
            </w:pPr>
          </w:p>
          <w:p w:rsidR="007A01D6" w:rsidRPr="006C2630" w:rsidRDefault="007A01D6" w:rsidP="007A01D6">
            <w:pPr>
              <w:rPr>
                <w:b/>
                <w:sz w:val="20"/>
                <w:szCs w:val="20"/>
              </w:rPr>
            </w:pPr>
            <w:r w:rsidRPr="006C2630">
              <w:rPr>
                <w:b/>
                <w:sz w:val="20"/>
                <w:szCs w:val="20"/>
              </w:rPr>
              <w:t>Temporary Local Rules</w:t>
            </w:r>
          </w:p>
          <w:p w:rsidR="007A01D6" w:rsidRDefault="007A01D6" w:rsidP="007A0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Local Rules from time to time in force are published on the Club Notice Boards.</w:t>
            </w:r>
          </w:p>
          <w:p w:rsidR="007A01D6" w:rsidRPr="006E4AB4" w:rsidRDefault="007A01D6" w:rsidP="00945408">
            <w:pPr>
              <w:rPr>
                <w:sz w:val="20"/>
                <w:szCs w:val="20"/>
              </w:rPr>
            </w:pPr>
          </w:p>
          <w:p w:rsidR="009D5394" w:rsidRPr="00F66FDA" w:rsidRDefault="009D5394" w:rsidP="00945408">
            <w:pPr>
              <w:rPr>
                <w:sz w:val="20"/>
                <w:szCs w:val="20"/>
              </w:rPr>
            </w:pPr>
          </w:p>
          <w:p w:rsidR="00945408" w:rsidRPr="009D5394" w:rsidRDefault="00945408" w:rsidP="008E3352"/>
          <w:p w:rsidR="00934EB1" w:rsidRPr="009D5394" w:rsidRDefault="00934EB1" w:rsidP="00696AF6">
            <w:pPr>
              <w:pStyle w:val="ListParagraph"/>
            </w:pPr>
          </w:p>
        </w:tc>
      </w:tr>
    </w:tbl>
    <w:p w:rsidR="003429DF" w:rsidRDefault="003429DF"/>
    <w:sectPr w:rsidR="003429D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8F" w:rsidRDefault="00CD748F" w:rsidP="00CD748F">
      <w:pPr>
        <w:spacing w:after="0" w:line="240" w:lineRule="auto"/>
      </w:pPr>
      <w:r>
        <w:separator/>
      </w:r>
    </w:p>
  </w:endnote>
  <w:endnote w:type="continuationSeparator" w:id="0">
    <w:p w:rsidR="00CD748F" w:rsidRDefault="00CD748F" w:rsidP="00CD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8F" w:rsidRDefault="00292E82">
    <w:pPr>
      <w:pStyle w:val="Footer"/>
    </w:pPr>
    <w:r>
      <w:t>19</w:t>
    </w:r>
    <w:r w:rsidRPr="00292E82">
      <w:rPr>
        <w:vertAlign w:val="superscript"/>
      </w:rPr>
      <w:t>th</w:t>
    </w:r>
    <w:r>
      <w:t xml:space="preserve"> </w:t>
    </w:r>
    <w:r w:rsidR="005F6BA6">
      <w:t>February</w:t>
    </w:r>
    <w:r w:rsidR="00CD748F">
      <w:t xml:space="preserve"> 2019</w:t>
    </w:r>
  </w:p>
  <w:p w:rsidR="00CD748F" w:rsidRDefault="00CD7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8F" w:rsidRDefault="00CD748F" w:rsidP="00CD748F">
      <w:pPr>
        <w:spacing w:after="0" w:line="240" w:lineRule="auto"/>
      </w:pPr>
      <w:r>
        <w:separator/>
      </w:r>
    </w:p>
  </w:footnote>
  <w:footnote w:type="continuationSeparator" w:id="0">
    <w:p w:rsidR="00CD748F" w:rsidRDefault="00CD748F" w:rsidP="00CD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B5F"/>
    <w:multiLevelType w:val="hybridMultilevel"/>
    <w:tmpl w:val="FF565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2B90"/>
    <w:multiLevelType w:val="hybridMultilevel"/>
    <w:tmpl w:val="D682DA22"/>
    <w:lvl w:ilvl="0" w:tplc="F648C8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175D90"/>
    <w:multiLevelType w:val="hybridMultilevel"/>
    <w:tmpl w:val="60004C2C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E18C7"/>
    <w:multiLevelType w:val="hybridMultilevel"/>
    <w:tmpl w:val="06868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912E9"/>
    <w:multiLevelType w:val="hybridMultilevel"/>
    <w:tmpl w:val="D9CE45B4"/>
    <w:lvl w:ilvl="0" w:tplc="D2E638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4072E"/>
    <w:multiLevelType w:val="hybridMultilevel"/>
    <w:tmpl w:val="06868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82"/>
    <w:rsid w:val="00036ECD"/>
    <w:rsid w:val="000442F2"/>
    <w:rsid w:val="000467CF"/>
    <w:rsid w:val="00073E45"/>
    <w:rsid w:val="00084CB9"/>
    <w:rsid w:val="00087784"/>
    <w:rsid w:val="000A4E7F"/>
    <w:rsid w:val="000A690F"/>
    <w:rsid w:val="000D1A6C"/>
    <w:rsid w:val="000D2B5C"/>
    <w:rsid w:val="00104C45"/>
    <w:rsid w:val="0014364D"/>
    <w:rsid w:val="00153139"/>
    <w:rsid w:val="00153AD1"/>
    <w:rsid w:val="001717E4"/>
    <w:rsid w:val="001812DD"/>
    <w:rsid w:val="00184D21"/>
    <w:rsid w:val="001956EC"/>
    <w:rsid w:val="001D0727"/>
    <w:rsid w:val="002121C5"/>
    <w:rsid w:val="00244904"/>
    <w:rsid w:val="00245A56"/>
    <w:rsid w:val="00270E38"/>
    <w:rsid w:val="00292E82"/>
    <w:rsid w:val="002A1C4B"/>
    <w:rsid w:val="002A4603"/>
    <w:rsid w:val="002F0D28"/>
    <w:rsid w:val="0031335C"/>
    <w:rsid w:val="003429DF"/>
    <w:rsid w:val="003432CE"/>
    <w:rsid w:val="003444F8"/>
    <w:rsid w:val="00367E87"/>
    <w:rsid w:val="0037152C"/>
    <w:rsid w:val="00387958"/>
    <w:rsid w:val="003D101E"/>
    <w:rsid w:val="003D5506"/>
    <w:rsid w:val="004058CF"/>
    <w:rsid w:val="00407827"/>
    <w:rsid w:val="004A40ED"/>
    <w:rsid w:val="004B4D48"/>
    <w:rsid w:val="004C2B6D"/>
    <w:rsid w:val="004C6170"/>
    <w:rsid w:val="004D5504"/>
    <w:rsid w:val="005127A8"/>
    <w:rsid w:val="00516CCE"/>
    <w:rsid w:val="0053283D"/>
    <w:rsid w:val="005342FD"/>
    <w:rsid w:val="005A52C7"/>
    <w:rsid w:val="005C152A"/>
    <w:rsid w:val="005C7D4E"/>
    <w:rsid w:val="005D424D"/>
    <w:rsid w:val="005E03CC"/>
    <w:rsid w:val="005F6BA6"/>
    <w:rsid w:val="006144E2"/>
    <w:rsid w:val="006174A2"/>
    <w:rsid w:val="00680E97"/>
    <w:rsid w:val="00686F96"/>
    <w:rsid w:val="00696AF6"/>
    <w:rsid w:val="00697CCB"/>
    <w:rsid w:val="006C01FA"/>
    <w:rsid w:val="006C6AEE"/>
    <w:rsid w:val="006D3005"/>
    <w:rsid w:val="006E4AB4"/>
    <w:rsid w:val="006E6A2F"/>
    <w:rsid w:val="006F064E"/>
    <w:rsid w:val="00736EA4"/>
    <w:rsid w:val="00742544"/>
    <w:rsid w:val="00745615"/>
    <w:rsid w:val="007744F1"/>
    <w:rsid w:val="007A01D6"/>
    <w:rsid w:val="007B396D"/>
    <w:rsid w:val="007C26AD"/>
    <w:rsid w:val="007C57ED"/>
    <w:rsid w:val="007F0802"/>
    <w:rsid w:val="00800701"/>
    <w:rsid w:val="00805D54"/>
    <w:rsid w:val="00850D02"/>
    <w:rsid w:val="008510E4"/>
    <w:rsid w:val="00886885"/>
    <w:rsid w:val="008B4B09"/>
    <w:rsid w:val="008C09F1"/>
    <w:rsid w:val="008C1F82"/>
    <w:rsid w:val="008E3352"/>
    <w:rsid w:val="008F506F"/>
    <w:rsid w:val="00934EB1"/>
    <w:rsid w:val="00945408"/>
    <w:rsid w:val="0095564E"/>
    <w:rsid w:val="009A1CDD"/>
    <w:rsid w:val="009B5255"/>
    <w:rsid w:val="009D5394"/>
    <w:rsid w:val="00A14F0F"/>
    <w:rsid w:val="00A17F19"/>
    <w:rsid w:val="00A26F98"/>
    <w:rsid w:val="00A67EC8"/>
    <w:rsid w:val="00A96280"/>
    <w:rsid w:val="00A977A2"/>
    <w:rsid w:val="00AA17AB"/>
    <w:rsid w:val="00AA490F"/>
    <w:rsid w:val="00AF29E6"/>
    <w:rsid w:val="00B21935"/>
    <w:rsid w:val="00B43D62"/>
    <w:rsid w:val="00B455E5"/>
    <w:rsid w:val="00B5236B"/>
    <w:rsid w:val="00B613E7"/>
    <w:rsid w:val="00B64672"/>
    <w:rsid w:val="00B75208"/>
    <w:rsid w:val="00B766EE"/>
    <w:rsid w:val="00B805CA"/>
    <w:rsid w:val="00B90FE8"/>
    <w:rsid w:val="00BA690D"/>
    <w:rsid w:val="00BD2C8F"/>
    <w:rsid w:val="00C33756"/>
    <w:rsid w:val="00C33CB0"/>
    <w:rsid w:val="00C62CFB"/>
    <w:rsid w:val="00C766E1"/>
    <w:rsid w:val="00C81C52"/>
    <w:rsid w:val="00CD748F"/>
    <w:rsid w:val="00D06199"/>
    <w:rsid w:val="00D16609"/>
    <w:rsid w:val="00D25B74"/>
    <w:rsid w:val="00D32577"/>
    <w:rsid w:val="00D35BDE"/>
    <w:rsid w:val="00D41E96"/>
    <w:rsid w:val="00D440CD"/>
    <w:rsid w:val="00D9093F"/>
    <w:rsid w:val="00D97270"/>
    <w:rsid w:val="00DB2B8F"/>
    <w:rsid w:val="00DD22C2"/>
    <w:rsid w:val="00DE5F40"/>
    <w:rsid w:val="00DF0D4A"/>
    <w:rsid w:val="00E3498B"/>
    <w:rsid w:val="00E64F5F"/>
    <w:rsid w:val="00E72E30"/>
    <w:rsid w:val="00EA5544"/>
    <w:rsid w:val="00EF0107"/>
    <w:rsid w:val="00F0309D"/>
    <w:rsid w:val="00F66FDA"/>
    <w:rsid w:val="00FB0F5B"/>
    <w:rsid w:val="00FB34FD"/>
    <w:rsid w:val="00FC2DBC"/>
    <w:rsid w:val="00FC603B"/>
    <w:rsid w:val="00FD4A33"/>
    <w:rsid w:val="00FF1BCE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8F"/>
  </w:style>
  <w:style w:type="paragraph" w:styleId="Footer">
    <w:name w:val="footer"/>
    <w:basedOn w:val="Normal"/>
    <w:link w:val="FooterChar"/>
    <w:uiPriority w:val="99"/>
    <w:unhideWhenUsed/>
    <w:rsid w:val="00CD7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8F"/>
  </w:style>
  <w:style w:type="paragraph" w:styleId="BalloonText">
    <w:name w:val="Balloon Text"/>
    <w:basedOn w:val="Normal"/>
    <w:link w:val="BalloonTextChar"/>
    <w:uiPriority w:val="99"/>
    <w:semiHidden/>
    <w:unhideWhenUsed/>
    <w:rsid w:val="00CD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8F"/>
  </w:style>
  <w:style w:type="paragraph" w:styleId="Footer">
    <w:name w:val="footer"/>
    <w:basedOn w:val="Normal"/>
    <w:link w:val="FooterChar"/>
    <w:uiPriority w:val="99"/>
    <w:unhideWhenUsed/>
    <w:rsid w:val="00CD7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8F"/>
  </w:style>
  <w:style w:type="paragraph" w:styleId="BalloonText">
    <w:name w:val="Balloon Text"/>
    <w:basedOn w:val="Normal"/>
    <w:link w:val="BalloonTextChar"/>
    <w:uiPriority w:val="99"/>
    <w:semiHidden/>
    <w:unhideWhenUsed/>
    <w:rsid w:val="00CD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Dimond</dc:creator>
  <cp:lastModifiedBy>Paul Dimond</cp:lastModifiedBy>
  <cp:revision>13</cp:revision>
  <dcterms:created xsi:type="dcterms:W3CDTF">2019-02-07T17:07:00Z</dcterms:created>
  <dcterms:modified xsi:type="dcterms:W3CDTF">2019-02-18T19:20:00Z</dcterms:modified>
</cp:coreProperties>
</file>